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909B" w14:textId="77777777" w:rsidR="000D2218" w:rsidRDefault="00AD463E">
      <w:pPr>
        <w:pStyle w:val="Titre1"/>
        <w:spacing w:after="0"/>
        <w:ind w:left="-5" w:right="0"/>
        <w:jc w:val="left"/>
      </w:pPr>
      <w:r>
        <w:rPr>
          <w:rFonts w:ascii="Times New Roman" w:eastAsia="Times New Roman" w:hAnsi="Times New Roman" w:cs="Times New Roman"/>
          <w:b/>
          <w:sz w:val="15"/>
        </w:rPr>
        <w:t>5.</w:t>
      </w:r>
      <w:r>
        <w:rPr>
          <w:rFonts w:ascii="Times New Roman" w:eastAsia="Times New Roman" w:hAnsi="Times New Roman" w:cs="Times New Roman"/>
          <w:sz w:val="15"/>
        </w:rPr>
        <w:t xml:space="preserve"> </w:t>
      </w:r>
      <w:r>
        <w:rPr>
          <w:rFonts w:ascii="Times New Roman" w:eastAsia="Times New Roman" w:hAnsi="Times New Roman" w:cs="Times New Roman"/>
          <w:b/>
          <w:sz w:val="15"/>
        </w:rPr>
        <w:t xml:space="preserve">CREATION D’UN DISPOSITIF DE LUTTE CONTRE LA DESERTIFICATION MEDICALE </w:t>
      </w:r>
    </w:p>
    <w:p w14:paraId="5F095071" w14:textId="77777777" w:rsidR="000D2218" w:rsidRDefault="00AD463E">
      <w:pPr>
        <w:spacing w:after="9" w:line="259" w:lineRule="auto"/>
        <w:ind w:left="218" w:firstLine="0"/>
        <w:jc w:val="left"/>
      </w:pPr>
      <w:r>
        <w:rPr>
          <w:rFonts w:ascii="Arial" w:eastAsia="Arial" w:hAnsi="Arial" w:cs="Arial"/>
          <w:sz w:val="12"/>
        </w:rPr>
        <w:t xml:space="preserve"> </w:t>
      </w:r>
    </w:p>
    <w:p w14:paraId="035FD97E" w14:textId="77777777" w:rsidR="000D2218" w:rsidRDefault="00AD463E">
      <w:pPr>
        <w:ind w:left="-5"/>
      </w:pPr>
      <w:r>
        <w:t>Cette nouvelle aide concerne la création, rénovation ou restructuration de locaux destinés à accueillir l’exercice collectif ou coordonné de professionnels de santé conventionnés en secteur 1 ou 2, dont les maisons de santé</w:t>
      </w:r>
      <w:r>
        <w:rPr>
          <w:i/>
        </w:rPr>
        <w:t xml:space="preserve"> </w:t>
      </w:r>
      <w:r>
        <w:t xml:space="preserve">pluri-professionnelles, les maisons médicales ou groupes libéraux.  </w:t>
      </w:r>
    </w:p>
    <w:p w14:paraId="0F277378" w14:textId="77777777" w:rsidR="000D2218" w:rsidRDefault="00AD463E">
      <w:pPr>
        <w:spacing w:after="0" w:line="259" w:lineRule="auto"/>
        <w:ind w:left="0" w:firstLine="0"/>
        <w:jc w:val="left"/>
      </w:pPr>
      <w:r>
        <w:t xml:space="preserve"> </w:t>
      </w:r>
    </w:p>
    <w:p w14:paraId="77857B03" w14:textId="77777777" w:rsidR="000D2218" w:rsidRDefault="00AD463E">
      <w:pPr>
        <w:ind w:left="-5"/>
      </w:pPr>
      <w:r>
        <w:t xml:space="preserve">Que la commune achète les locaux ou en soit locataire,  si elle finance les travaux, son dossier sera recevable (sous réserve d’être complet).  </w:t>
      </w:r>
    </w:p>
    <w:p w14:paraId="56CD19AD" w14:textId="77777777" w:rsidR="000D2218" w:rsidRDefault="00AD463E">
      <w:pPr>
        <w:spacing w:after="0" w:line="259" w:lineRule="auto"/>
        <w:ind w:left="0" w:firstLine="0"/>
        <w:jc w:val="left"/>
      </w:pPr>
      <w:r>
        <w:t xml:space="preserve"> </w:t>
      </w:r>
    </w:p>
    <w:p w14:paraId="155ED7CB" w14:textId="77777777" w:rsidR="000D2218" w:rsidRDefault="00AD463E">
      <w:pPr>
        <w:ind w:left="-5"/>
      </w:pPr>
      <w:r>
        <w:t xml:space="preserve">Sept centres de santé existent en Val d’Oise, dont cinq dans l’Est en zone éligible, et des projets de création sont en cours, portés par des EPCI (Communauté de communes     </w:t>
      </w:r>
      <w:proofErr w:type="spellStart"/>
      <w:r>
        <w:t>Carnelle</w:t>
      </w:r>
      <w:proofErr w:type="spellEnd"/>
      <w:r>
        <w:t xml:space="preserve">-Pays de France, Communauté d'agglomération Roissy-Pays de France). </w:t>
      </w:r>
    </w:p>
    <w:p w14:paraId="72894755" w14:textId="77777777" w:rsidR="000D2218" w:rsidRDefault="00AD463E">
      <w:pPr>
        <w:spacing w:after="0" w:line="259" w:lineRule="auto"/>
        <w:ind w:left="0" w:firstLine="0"/>
        <w:jc w:val="left"/>
      </w:pPr>
      <w:r>
        <w:t xml:space="preserve"> </w:t>
      </w:r>
    </w:p>
    <w:p w14:paraId="178277C0" w14:textId="77777777" w:rsidR="000D2218" w:rsidRDefault="00AD463E">
      <w:pPr>
        <w:ind w:left="-5"/>
      </w:pPr>
      <w:r>
        <w:t xml:space="preserve">Ces centres rendent les mêmes services en matière de soin que les maisons de santé qui, elles, sont subventionnables. Leurs personnels peuvent être des agents publics mais ils peuvent aussi accueillir des personnels de statut libéral. </w:t>
      </w:r>
    </w:p>
    <w:p w14:paraId="0338BB93" w14:textId="77777777" w:rsidR="000D2218" w:rsidRDefault="00AD463E">
      <w:pPr>
        <w:spacing w:after="0" w:line="259" w:lineRule="auto"/>
        <w:ind w:left="0" w:firstLine="0"/>
        <w:jc w:val="left"/>
      </w:pPr>
      <w:r>
        <w:t xml:space="preserve"> </w:t>
      </w:r>
    </w:p>
    <w:p w14:paraId="32809A12" w14:textId="77777777" w:rsidR="000D2218" w:rsidRDefault="00AD463E">
      <w:pPr>
        <w:ind w:left="-5"/>
      </w:pPr>
      <w:r>
        <w:t xml:space="preserve">Dans tous les cas, les professionnels de santé (médicaux ou auxiliaires) sont salariés, pratiquent le tiers payant et s'engagent à respecter les tarifs conventionnels. </w:t>
      </w:r>
    </w:p>
    <w:p w14:paraId="0AA369B4" w14:textId="77777777" w:rsidR="000D2218" w:rsidRDefault="00AD463E">
      <w:pPr>
        <w:spacing w:after="0" w:line="259" w:lineRule="auto"/>
        <w:ind w:left="0" w:firstLine="0"/>
        <w:jc w:val="left"/>
      </w:pPr>
      <w:r>
        <w:t xml:space="preserve"> </w:t>
      </w:r>
    </w:p>
    <w:p w14:paraId="3A1ADB9C" w14:textId="77777777" w:rsidR="000D2218" w:rsidRDefault="00AD463E">
      <w:pPr>
        <w:ind w:left="-5"/>
      </w:pPr>
      <w:r>
        <w:t xml:space="preserve">Les centres de santé peuvent disposer d’antennes, et leur financement repose prioritairement sur les communes.  </w:t>
      </w:r>
    </w:p>
    <w:p w14:paraId="3367B282" w14:textId="77777777" w:rsidR="000D2218" w:rsidRDefault="00AD463E">
      <w:pPr>
        <w:spacing w:after="0" w:line="259" w:lineRule="auto"/>
        <w:ind w:left="0" w:firstLine="0"/>
        <w:jc w:val="left"/>
      </w:pPr>
      <w:r>
        <w:t xml:space="preserve"> </w:t>
      </w:r>
    </w:p>
    <w:p w14:paraId="2C37FFF7" w14:textId="77777777" w:rsidR="000D2218" w:rsidRDefault="00AD463E">
      <w:pPr>
        <w:ind w:left="-5"/>
      </w:pPr>
      <w:r>
        <w:t xml:space="preserve">Le financement de ce type de structure a toute sa place dans le guide des aides aux communes. C’est pourquoi les centres de santé existants seront éligibles au nouveau dispositif (pour les travaux de réhabilitation), tout en excluant les créations de centres de santé. </w:t>
      </w:r>
    </w:p>
    <w:p w14:paraId="7B637F4B" w14:textId="77777777" w:rsidR="000D2218" w:rsidRDefault="00AD463E">
      <w:pPr>
        <w:spacing w:after="0" w:line="259" w:lineRule="auto"/>
        <w:ind w:left="0" w:firstLine="0"/>
        <w:jc w:val="left"/>
      </w:pPr>
      <w:r>
        <w:t xml:space="preserve"> </w:t>
      </w:r>
    </w:p>
    <w:p w14:paraId="331754E9" w14:textId="77777777" w:rsidR="000D2218" w:rsidRDefault="00AD463E">
      <w:pPr>
        <w:ind w:left="-5"/>
      </w:pPr>
      <w:r>
        <w:t xml:space="preserve">Détails du dispositif proposé : </w:t>
      </w:r>
    </w:p>
    <w:p w14:paraId="21214171" w14:textId="77777777" w:rsidR="000D2218" w:rsidRDefault="00AD463E">
      <w:pPr>
        <w:spacing w:after="0" w:line="259" w:lineRule="auto"/>
        <w:ind w:left="0" w:firstLine="0"/>
        <w:jc w:val="left"/>
      </w:pPr>
      <w:r>
        <w:t xml:space="preserve"> </w:t>
      </w:r>
    </w:p>
    <w:p w14:paraId="13D85AE1" w14:textId="77777777" w:rsidR="000D2218" w:rsidRDefault="00AD463E">
      <w:pPr>
        <w:ind w:left="-5"/>
      </w:pPr>
      <w:r>
        <w:t xml:space="preserve">Conditions de l'aide : les équipements doivent se situer en zone prioritaire (selon dernier zonage connu de l’Agence Régionale de Santé (ARS) lors du dépôt de dossier), soit en Zone d'Intervention Prioritaire (ZIP), ou en Zone d'Action Complémentaire (ZAC) ou avoir fait l’objet d’un diagnostic local de santé reconnu par l'ARS. </w:t>
      </w:r>
    </w:p>
    <w:p w14:paraId="6E232082" w14:textId="77777777" w:rsidR="000D2218" w:rsidRDefault="00AD463E">
      <w:pPr>
        <w:spacing w:after="0" w:line="259" w:lineRule="auto"/>
        <w:ind w:left="0" w:firstLine="0"/>
        <w:jc w:val="left"/>
      </w:pPr>
      <w:r>
        <w:rPr>
          <w:i/>
        </w:rPr>
        <w:t xml:space="preserve"> </w:t>
      </w:r>
    </w:p>
    <w:p w14:paraId="54A312F6" w14:textId="77777777" w:rsidR="000D2218" w:rsidRDefault="00AD463E">
      <w:pPr>
        <w:ind w:left="-5"/>
      </w:pPr>
      <w:r>
        <w:t>Périodicité de l’aide :</w:t>
      </w:r>
      <w:r>
        <w:rPr>
          <w:b/>
          <w:color w:val="00B0F0"/>
        </w:rPr>
        <w:t xml:space="preserve"> </w:t>
      </w:r>
      <w:r>
        <w:t xml:space="preserve">une aide tous les cinq ans/commune, ou pour les EPCI sur une même commune, </w:t>
      </w:r>
    </w:p>
    <w:p w14:paraId="0F1B4B66" w14:textId="77777777" w:rsidR="000D2218" w:rsidRDefault="00AD463E">
      <w:pPr>
        <w:spacing w:after="3038" w:line="259" w:lineRule="auto"/>
        <w:ind w:left="0" w:firstLine="0"/>
        <w:jc w:val="left"/>
      </w:pPr>
      <w:r>
        <w:t xml:space="preserve"> </w:t>
      </w:r>
    </w:p>
    <w:p w14:paraId="25284E57" w14:textId="77777777" w:rsidR="000D2218" w:rsidRDefault="00AD463E">
      <w:pPr>
        <w:pStyle w:val="Titre1"/>
      </w:pPr>
      <w:r>
        <w:lastRenderedPageBreak/>
        <w:t>561</w:t>
      </w:r>
    </w:p>
    <w:p w14:paraId="1652219F" w14:textId="77777777" w:rsidR="000D2218" w:rsidRDefault="00AD463E">
      <w:pPr>
        <w:ind w:left="-5"/>
      </w:pPr>
      <w:r>
        <w:t xml:space="preserve">Le dispositif d'aide : </w:t>
      </w:r>
    </w:p>
    <w:p w14:paraId="67E08536" w14:textId="77777777" w:rsidR="000D2218" w:rsidRDefault="00AD463E">
      <w:pPr>
        <w:spacing w:after="0" w:line="259" w:lineRule="auto"/>
        <w:ind w:left="0" w:firstLine="0"/>
        <w:jc w:val="left"/>
      </w:pPr>
      <w:r>
        <w:rPr>
          <w:i/>
        </w:rPr>
        <w:t xml:space="preserve"> </w:t>
      </w:r>
    </w:p>
    <w:tbl>
      <w:tblPr>
        <w:tblStyle w:val="TableGrid"/>
        <w:tblW w:w="5702" w:type="dxa"/>
        <w:tblInd w:w="-42" w:type="dxa"/>
        <w:tblCellMar>
          <w:top w:w="34" w:type="dxa"/>
          <w:left w:w="42" w:type="dxa"/>
          <w:right w:w="1" w:type="dxa"/>
        </w:tblCellMar>
        <w:tblLook w:val="04A0" w:firstRow="1" w:lastRow="0" w:firstColumn="1" w:lastColumn="0" w:noHBand="0" w:noVBand="1"/>
      </w:tblPr>
      <w:tblGrid>
        <w:gridCol w:w="2101"/>
        <w:gridCol w:w="3601"/>
      </w:tblGrid>
      <w:tr w:rsidR="000D2218" w14:paraId="4BF04449" w14:textId="77777777">
        <w:trPr>
          <w:trHeight w:val="1175"/>
        </w:trPr>
        <w:tc>
          <w:tcPr>
            <w:tcW w:w="2101" w:type="dxa"/>
            <w:tcBorders>
              <w:top w:val="single" w:sz="2" w:space="0" w:color="000000"/>
              <w:left w:val="single" w:sz="2" w:space="0" w:color="000000"/>
              <w:bottom w:val="single" w:sz="2" w:space="0" w:color="000000"/>
              <w:right w:val="single" w:sz="2" w:space="0" w:color="000000"/>
            </w:tcBorders>
          </w:tcPr>
          <w:p w14:paraId="2B634827" w14:textId="77777777" w:rsidR="000D2218" w:rsidRDefault="00AD463E">
            <w:pPr>
              <w:spacing w:after="0" w:line="259" w:lineRule="auto"/>
              <w:ind w:left="0" w:firstLine="0"/>
              <w:jc w:val="left"/>
            </w:pPr>
            <w:r>
              <w:t xml:space="preserve">Taux * </w:t>
            </w:r>
          </w:p>
          <w:p w14:paraId="1AD3CA59" w14:textId="77777777" w:rsidR="000D2218" w:rsidRDefault="00AD463E">
            <w:pPr>
              <w:spacing w:after="0" w:line="259" w:lineRule="auto"/>
              <w:ind w:left="0" w:firstLine="0"/>
              <w:jc w:val="left"/>
            </w:pPr>
            <w:r>
              <w:t xml:space="preserve"> </w:t>
            </w:r>
          </w:p>
        </w:tc>
        <w:tc>
          <w:tcPr>
            <w:tcW w:w="3601" w:type="dxa"/>
            <w:tcBorders>
              <w:top w:val="single" w:sz="2" w:space="0" w:color="000000"/>
              <w:left w:val="single" w:sz="2" w:space="0" w:color="000000"/>
              <w:bottom w:val="single" w:sz="2" w:space="0" w:color="000000"/>
              <w:right w:val="single" w:sz="2" w:space="0" w:color="000000"/>
            </w:tcBorders>
          </w:tcPr>
          <w:p w14:paraId="4A068B6D" w14:textId="77777777" w:rsidR="000D2218" w:rsidRDefault="00AD463E">
            <w:pPr>
              <w:spacing w:after="0" w:line="238" w:lineRule="auto"/>
              <w:ind w:left="0" w:right="86" w:firstLine="0"/>
              <w:jc w:val="left"/>
            </w:pPr>
            <w:r>
              <w:t xml:space="preserve">Pour les projets en ZIP** : 25 % du coût des travaux HT ou </w:t>
            </w:r>
          </w:p>
          <w:p w14:paraId="781FBF4B" w14:textId="77777777" w:rsidR="000D2218" w:rsidRDefault="00AD463E">
            <w:pPr>
              <w:spacing w:after="0" w:line="238" w:lineRule="auto"/>
              <w:ind w:left="0" w:right="13" w:firstLine="0"/>
              <w:jc w:val="left"/>
            </w:pPr>
            <w:r>
              <w:t xml:space="preserve">Pour les projets en ZAC**: 20 % du coût des travaux HT  ou </w:t>
            </w:r>
          </w:p>
          <w:p w14:paraId="74FA9342" w14:textId="77777777" w:rsidR="000D2218" w:rsidRDefault="00AD463E">
            <w:pPr>
              <w:spacing w:after="0" w:line="259" w:lineRule="auto"/>
              <w:ind w:left="0" w:firstLine="0"/>
              <w:jc w:val="left"/>
            </w:pPr>
            <w:r>
              <w:t xml:space="preserve">Pour les projets ayant fait l’objet d’un diagnostic local de santé reconnu par les autorités de santé (ARS) : 15 % du coût des travaux HT  </w:t>
            </w:r>
          </w:p>
        </w:tc>
      </w:tr>
      <w:tr w:rsidR="000D2218" w14:paraId="65C56281" w14:textId="77777777">
        <w:trPr>
          <w:trHeight w:val="1346"/>
        </w:trPr>
        <w:tc>
          <w:tcPr>
            <w:tcW w:w="2101" w:type="dxa"/>
            <w:tcBorders>
              <w:top w:val="single" w:sz="2" w:space="0" w:color="000000"/>
              <w:left w:val="single" w:sz="2" w:space="0" w:color="000000"/>
              <w:bottom w:val="single" w:sz="2" w:space="0" w:color="000000"/>
              <w:right w:val="single" w:sz="2" w:space="0" w:color="000000"/>
            </w:tcBorders>
          </w:tcPr>
          <w:p w14:paraId="5B78815B" w14:textId="77777777" w:rsidR="000D2218" w:rsidRDefault="00AD463E">
            <w:pPr>
              <w:spacing w:after="21" w:line="259" w:lineRule="auto"/>
              <w:ind w:left="0" w:firstLine="0"/>
              <w:jc w:val="left"/>
            </w:pPr>
            <w:r>
              <w:t xml:space="preserve">Plancher de travaux : </w:t>
            </w:r>
          </w:p>
          <w:p w14:paraId="39075BEC" w14:textId="77777777" w:rsidR="000D2218" w:rsidRDefault="00AD463E">
            <w:pPr>
              <w:numPr>
                <w:ilvl w:val="0"/>
                <w:numId w:val="2"/>
              </w:numPr>
              <w:spacing w:after="22" w:line="259" w:lineRule="auto"/>
              <w:ind w:left="429" w:hanging="211"/>
              <w:jc w:val="left"/>
            </w:pPr>
            <w:r>
              <w:t xml:space="preserve">Construction </w:t>
            </w:r>
          </w:p>
          <w:p w14:paraId="6A5E3ABC" w14:textId="77777777" w:rsidR="000D2218" w:rsidRDefault="00AD463E">
            <w:pPr>
              <w:numPr>
                <w:ilvl w:val="0"/>
                <w:numId w:val="2"/>
              </w:numPr>
              <w:spacing w:after="0" w:line="259" w:lineRule="auto"/>
              <w:ind w:left="429" w:hanging="211"/>
              <w:jc w:val="left"/>
            </w:pPr>
            <w:r>
              <w:t xml:space="preserve">Rénovation/restructuration  </w:t>
            </w:r>
          </w:p>
          <w:p w14:paraId="3C001B82" w14:textId="77777777" w:rsidR="000D2218" w:rsidRDefault="00AD463E">
            <w:pPr>
              <w:spacing w:after="0" w:line="259" w:lineRule="auto"/>
              <w:ind w:left="0" w:firstLine="0"/>
              <w:jc w:val="left"/>
            </w:pPr>
            <w:r>
              <w:t xml:space="preserve"> </w:t>
            </w:r>
          </w:p>
          <w:p w14:paraId="6B2C2291" w14:textId="77777777" w:rsidR="000D2218" w:rsidRDefault="00AD463E">
            <w:pPr>
              <w:spacing w:after="20" w:line="259" w:lineRule="auto"/>
              <w:ind w:left="0" w:firstLine="0"/>
              <w:jc w:val="left"/>
            </w:pPr>
            <w:r>
              <w:t xml:space="preserve">Plafond de travaux : </w:t>
            </w:r>
          </w:p>
          <w:p w14:paraId="1736F470" w14:textId="77777777" w:rsidR="000D2218" w:rsidRDefault="00AD463E">
            <w:pPr>
              <w:numPr>
                <w:ilvl w:val="0"/>
                <w:numId w:val="2"/>
              </w:numPr>
              <w:spacing w:after="22" w:line="259" w:lineRule="auto"/>
              <w:ind w:left="429" w:hanging="211"/>
              <w:jc w:val="left"/>
            </w:pPr>
            <w:r>
              <w:t xml:space="preserve">Création </w:t>
            </w:r>
          </w:p>
          <w:p w14:paraId="324C258F" w14:textId="77777777" w:rsidR="000D2218" w:rsidRDefault="00AD463E">
            <w:pPr>
              <w:numPr>
                <w:ilvl w:val="0"/>
                <w:numId w:val="2"/>
              </w:numPr>
              <w:spacing w:after="19" w:line="259" w:lineRule="auto"/>
              <w:ind w:left="429" w:hanging="211"/>
              <w:jc w:val="left"/>
            </w:pPr>
            <w:r>
              <w:t xml:space="preserve">Rénovation/restructuration  </w:t>
            </w:r>
          </w:p>
          <w:p w14:paraId="2E49B39F" w14:textId="77777777" w:rsidR="000D2218" w:rsidRDefault="00AD463E">
            <w:pPr>
              <w:numPr>
                <w:ilvl w:val="0"/>
                <w:numId w:val="2"/>
              </w:numPr>
              <w:spacing w:after="0" w:line="259" w:lineRule="auto"/>
              <w:ind w:left="429" w:hanging="211"/>
              <w:jc w:val="left"/>
            </w:pPr>
            <w:r>
              <w:t xml:space="preserve">Equipement *** </w:t>
            </w:r>
          </w:p>
        </w:tc>
        <w:tc>
          <w:tcPr>
            <w:tcW w:w="3601" w:type="dxa"/>
            <w:tcBorders>
              <w:top w:val="single" w:sz="2" w:space="0" w:color="000000"/>
              <w:left w:val="single" w:sz="2" w:space="0" w:color="000000"/>
              <w:bottom w:val="single" w:sz="2" w:space="0" w:color="000000"/>
              <w:right w:val="single" w:sz="2" w:space="0" w:color="000000"/>
            </w:tcBorders>
          </w:tcPr>
          <w:p w14:paraId="5C7C97FA" w14:textId="77777777" w:rsidR="000D2218" w:rsidRDefault="00AD463E">
            <w:pPr>
              <w:spacing w:after="0" w:line="259" w:lineRule="auto"/>
              <w:ind w:left="0" w:firstLine="0"/>
              <w:jc w:val="left"/>
            </w:pPr>
            <w:r>
              <w:t xml:space="preserve"> </w:t>
            </w:r>
          </w:p>
          <w:p w14:paraId="32DF3B05" w14:textId="77777777" w:rsidR="000D2218" w:rsidRDefault="00AD463E">
            <w:pPr>
              <w:spacing w:after="0" w:line="259" w:lineRule="auto"/>
              <w:ind w:left="0" w:firstLine="0"/>
              <w:jc w:val="left"/>
            </w:pPr>
            <w:r>
              <w:t xml:space="preserve">50 000 € HT  </w:t>
            </w:r>
          </w:p>
          <w:p w14:paraId="38E8098E" w14:textId="77777777" w:rsidR="000D2218" w:rsidRDefault="00AD463E">
            <w:pPr>
              <w:spacing w:after="0" w:line="259" w:lineRule="auto"/>
              <w:ind w:left="0" w:firstLine="0"/>
              <w:jc w:val="left"/>
            </w:pPr>
            <w:r>
              <w:t xml:space="preserve">10 000 € HT </w:t>
            </w:r>
          </w:p>
          <w:p w14:paraId="38C36527" w14:textId="77777777" w:rsidR="000D2218" w:rsidRDefault="00AD463E">
            <w:pPr>
              <w:spacing w:after="0" w:line="259" w:lineRule="auto"/>
              <w:ind w:left="0" w:firstLine="0"/>
              <w:jc w:val="left"/>
            </w:pPr>
            <w:r>
              <w:t xml:space="preserve"> </w:t>
            </w:r>
          </w:p>
          <w:p w14:paraId="3B0C5778" w14:textId="77777777" w:rsidR="000D2218" w:rsidRDefault="00AD463E">
            <w:pPr>
              <w:spacing w:after="0" w:line="259" w:lineRule="auto"/>
              <w:ind w:left="0" w:firstLine="0"/>
              <w:jc w:val="left"/>
            </w:pPr>
            <w:r>
              <w:t xml:space="preserve"> </w:t>
            </w:r>
          </w:p>
          <w:p w14:paraId="63846950" w14:textId="77777777" w:rsidR="000D2218" w:rsidRDefault="00AD463E">
            <w:pPr>
              <w:spacing w:after="0" w:line="259" w:lineRule="auto"/>
              <w:ind w:left="0" w:firstLine="0"/>
              <w:jc w:val="left"/>
            </w:pPr>
            <w:r>
              <w:t xml:space="preserve">1 M€ HT  </w:t>
            </w:r>
          </w:p>
          <w:p w14:paraId="69C91048" w14:textId="77777777" w:rsidR="000D2218" w:rsidRDefault="00AD463E">
            <w:pPr>
              <w:spacing w:after="0" w:line="259" w:lineRule="auto"/>
              <w:ind w:left="0" w:firstLine="0"/>
              <w:jc w:val="left"/>
            </w:pPr>
            <w:r>
              <w:t xml:space="preserve">500 000 € HT </w:t>
            </w:r>
          </w:p>
          <w:p w14:paraId="61827B69" w14:textId="77777777" w:rsidR="000D2218" w:rsidRDefault="00AD463E">
            <w:pPr>
              <w:spacing w:after="0" w:line="259" w:lineRule="auto"/>
              <w:ind w:left="0" w:firstLine="0"/>
              <w:jc w:val="left"/>
            </w:pPr>
            <w:r>
              <w:t xml:space="preserve">100 000 € HT </w:t>
            </w:r>
          </w:p>
        </w:tc>
      </w:tr>
    </w:tbl>
    <w:p w14:paraId="6060D643" w14:textId="77777777" w:rsidR="000D2218" w:rsidRDefault="00AD463E">
      <w:pPr>
        <w:spacing w:after="0" w:line="259" w:lineRule="auto"/>
        <w:ind w:left="-5"/>
        <w:jc w:val="left"/>
      </w:pPr>
      <w:r>
        <w:rPr>
          <w:sz w:val="10"/>
        </w:rPr>
        <w:t>*</w:t>
      </w:r>
      <w:r>
        <w:rPr>
          <w:sz w:val="13"/>
        </w:rPr>
        <w:t xml:space="preserve"> </w:t>
      </w:r>
      <w:r>
        <w:rPr>
          <w:sz w:val="10"/>
        </w:rPr>
        <w:t xml:space="preserve">Taux de base avant pondération suivant le potentiel financier par habitant </w:t>
      </w:r>
    </w:p>
    <w:p w14:paraId="7E08BBA7" w14:textId="77777777" w:rsidR="000D2218" w:rsidRDefault="00AD463E">
      <w:pPr>
        <w:spacing w:after="0" w:line="259" w:lineRule="auto"/>
        <w:ind w:left="-5"/>
        <w:jc w:val="left"/>
      </w:pPr>
      <w:r>
        <w:rPr>
          <w:sz w:val="10"/>
        </w:rPr>
        <w:t xml:space="preserve">** Selon dernier zonage connu de l’ARS lors du dépôt de dossier </w:t>
      </w:r>
    </w:p>
    <w:p w14:paraId="3013E46A" w14:textId="77777777" w:rsidR="000D2218" w:rsidRDefault="00AD463E">
      <w:pPr>
        <w:spacing w:after="0" w:line="259" w:lineRule="auto"/>
        <w:ind w:left="-5"/>
        <w:jc w:val="left"/>
      </w:pPr>
      <w:r>
        <w:rPr>
          <w:sz w:val="10"/>
        </w:rPr>
        <w:t xml:space="preserve">*** Acquisition de matériels et mobiliers liée aux travaux de construction, rénovation ou restructuration </w:t>
      </w:r>
      <w:r>
        <w:rPr>
          <w:sz w:val="13"/>
        </w:rPr>
        <w:t xml:space="preserve"> </w:t>
      </w:r>
    </w:p>
    <w:p w14:paraId="062E7BF8" w14:textId="77777777" w:rsidR="000D2218" w:rsidRDefault="00AD463E">
      <w:pPr>
        <w:spacing w:after="0" w:line="259" w:lineRule="auto"/>
        <w:ind w:left="0" w:firstLine="0"/>
        <w:jc w:val="left"/>
      </w:pPr>
      <w:r>
        <w:rPr>
          <w:rFonts w:ascii="Trebuchet MS" w:eastAsia="Trebuchet MS" w:hAnsi="Trebuchet MS" w:cs="Trebuchet MS"/>
          <w:sz w:val="13"/>
        </w:rPr>
        <w:t xml:space="preserve"> </w:t>
      </w:r>
    </w:p>
    <w:p w14:paraId="7E231472" w14:textId="2D8E3C1D" w:rsidR="000D2218" w:rsidRDefault="00AD463E" w:rsidP="00B36592">
      <w:pPr>
        <w:spacing w:after="2" w:line="259" w:lineRule="auto"/>
        <w:ind w:left="0" w:firstLine="0"/>
        <w:jc w:val="left"/>
      </w:pPr>
      <w:r>
        <w:rPr>
          <w:rFonts w:ascii="Trebuchet MS" w:eastAsia="Trebuchet MS" w:hAnsi="Trebuchet MS" w:cs="Trebuchet MS"/>
          <w:sz w:val="13"/>
        </w:rPr>
        <w:t xml:space="preserve"> </w:t>
      </w:r>
    </w:p>
    <w:sectPr w:rsidR="000D2218">
      <w:pgSz w:w="8391" w:h="11169"/>
      <w:pgMar w:top="1129" w:right="1564" w:bottom="343" w:left="13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01A41"/>
    <w:multiLevelType w:val="hybridMultilevel"/>
    <w:tmpl w:val="B3044EF2"/>
    <w:lvl w:ilvl="0" w:tplc="261EB9B4">
      <w:start w:val="1"/>
      <w:numFmt w:val="bullet"/>
      <w:lvlText w:val="-"/>
      <w:lvlJc w:val="left"/>
      <w:pPr>
        <w:ind w:left="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AC70C3AE">
      <w:start w:val="1"/>
      <w:numFmt w:val="bullet"/>
      <w:lvlText w:val="o"/>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5C522D38">
      <w:start w:val="1"/>
      <w:numFmt w:val="bullet"/>
      <w:lvlText w:val="▪"/>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41F0131C">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944C9216">
      <w:start w:val="1"/>
      <w:numFmt w:val="bullet"/>
      <w:lvlText w:val="o"/>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DA08F424">
      <w:start w:val="1"/>
      <w:numFmt w:val="bullet"/>
      <w:lvlText w:val="▪"/>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B84495CA">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0C1A93F0">
      <w:start w:val="1"/>
      <w:numFmt w:val="bullet"/>
      <w:lvlText w:val="o"/>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D1F8A9E4">
      <w:start w:val="1"/>
      <w:numFmt w:val="bullet"/>
      <w:lvlText w:val="▪"/>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7CA51B69"/>
    <w:multiLevelType w:val="hybridMultilevel"/>
    <w:tmpl w:val="92AEC810"/>
    <w:lvl w:ilvl="0" w:tplc="B3A69FD6">
      <w:start w:val="1"/>
      <w:numFmt w:val="bullet"/>
      <w:lvlText w:val="-"/>
      <w:lvlJc w:val="left"/>
      <w:pPr>
        <w:ind w:left="428"/>
      </w:pPr>
      <w:rPr>
        <w:rFonts w:ascii="Trebuchet MS" w:eastAsia="Trebuchet MS" w:hAnsi="Trebuchet MS" w:cs="Trebuchet MS"/>
        <w:b w:val="0"/>
        <w:i w:val="0"/>
        <w:strike w:val="0"/>
        <w:dstrike w:val="0"/>
        <w:color w:val="000000"/>
        <w:sz w:val="15"/>
        <w:szCs w:val="15"/>
        <w:u w:val="none" w:color="000000"/>
        <w:bdr w:val="none" w:sz="0" w:space="0" w:color="auto"/>
        <w:shd w:val="clear" w:color="auto" w:fill="auto"/>
        <w:vertAlign w:val="baseline"/>
      </w:rPr>
    </w:lvl>
    <w:lvl w:ilvl="1" w:tplc="7D6E74B0">
      <w:start w:val="1"/>
      <w:numFmt w:val="bullet"/>
      <w:lvlText w:val="o"/>
      <w:lvlJc w:val="left"/>
      <w:pPr>
        <w:ind w:left="1340"/>
      </w:pPr>
      <w:rPr>
        <w:rFonts w:ascii="Trebuchet MS" w:eastAsia="Trebuchet MS" w:hAnsi="Trebuchet MS" w:cs="Trebuchet MS"/>
        <w:b w:val="0"/>
        <w:i w:val="0"/>
        <w:strike w:val="0"/>
        <w:dstrike w:val="0"/>
        <w:color w:val="000000"/>
        <w:sz w:val="15"/>
        <w:szCs w:val="15"/>
        <w:u w:val="none" w:color="000000"/>
        <w:bdr w:val="none" w:sz="0" w:space="0" w:color="auto"/>
        <w:shd w:val="clear" w:color="auto" w:fill="auto"/>
        <w:vertAlign w:val="baseline"/>
      </w:rPr>
    </w:lvl>
    <w:lvl w:ilvl="2" w:tplc="140EAD9E">
      <w:start w:val="1"/>
      <w:numFmt w:val="bullet"/>
      <w:lvlText w:val="▪"/>
      <w:lvlJc w:val="left"/>
      <w:pPr>
        <w:ind w:left="2060"/>
      </w:pPr>
      <w:rPr>
        <w:rFonts w:ascii="Trebuchet MS" w:eastAsia="Trebuchet MS" w:hAnsi="Trebuchet MS" w:cs="Trebuchet MS"/>
        <w:b w:val="0"/>
        <w:i w:val="0"/>
        <w:strike w:val="0"/>
        <w:dstrike w:val="0"/>
        <w:color w:val="000000"/>
        <w:sz w:val="15"/>
        <w:szCs w:val="15"/>
        <w:u w:val="none" w:color="000000"/>
        <w:bdr w:val="none" w:sz="0" w:space="0" w:color="auto"/>
        <w:shd w:val="clear" w:color="auto" w:fill="auto"/>
        <w:vertAlign w:val="baseline"/>
      </w:rPr>
    </w:lvl>
    <w:lvl w:ilvl="3" w:tplc="37425CBE">
      <w:start w:val="1"/>
      <w:numFmt w:val="bullet"/>
      <w:lvlText w:val="•"/>
      <w:lvlJc w:val="left"/>
      <w:pPr>
        <w:ind w:left="2780"/>
      </w:pPr>
      <w:rPr>
        <w:rFonts w:ascii="Trebuchet MS" w:eastAsia="Trebuchet MS" w:hAnsi="Trebuchet MS" w:cs="Trebuchet MS"/>
        <w:b w:val="0"/>
        <w:i w:val="0"/>
        <w:strike w:val="0"/>
        <w:dstrike w:val="0"/>
        <w:color w:val="000000"/>
        <w:sz w:val="15"/>
        <w:szCs w:val="15"/>
        <w:u w:val="none" w:color="000000"/>
        <w:bdr w:val="none" w:sz="0" w:space="0" w:color="auto"/>
        <w:shd w:val="clear" w:color="auto" w:fill="auto"/>
        <w:vertAlign w:val="baseline"/>
      </w:rPr>
    </w:lvl>
    <w:lvl w:ilvl="4" w:tplc="4FC6CE72">
      <w:start w:val="1"/>
      <w:numFmt w:val="bullet"/>
      <w:lvlText w:val="o"/>
      <w:lvlJc w:val="left"/>
      <w:pPr>
        <w:ind w:left="3500"/>
      </w:pPr>
      <w:rPr>
        <w:rFonts w:ascii="Trebuchet MS" w:eastAsia="Trebuchet MS" w:hAnsi="Trebuchet MS" w:cs="Trebuchet MS"/>
        <w:b w:val="0"/>
        <w:i w:val="0"/>
        <w:strike w:val="0"/>
        <w:dstrike w:val="0"/>
        <w:color w:val="000000"/>
        <w:sz w:val="15"/>
        <w:szCs w:val="15"/>
        <w:u w:val="none" w:color="000000"/>
        <w:bdr w:val="none" w:sz="0" w:space="0" w:color="auto"/>
        <w:shd w:val="clear" w:color="auto" w:fill="auto"/>
        <w:vertAlign w:val="baseline"/>
      </w:rPr>
    </w:lvl>
    <w:lvl w:ilvl="5" w:tplc="61DEDA50">
      <w:start w:val="1"/>
      <w:numFmt w:val="bullet"/>
      <w:lvlText w:val="▪"/>
      <w:lvlJc w:val="left"/>
      <w:pPr>
        <w:ind w:left="4220"/>
      </w:pPr>
      <w:rPr>
        <w:rFonts w:ascii="Trebuchet MS" w:eastAsia="Trebuchet MS" w:hAnsi="Trebuchet MS" w:cs="Trebuchet MS"/>
        <w:b w:val="0"/>
        <w:i w:val="0"/>
        <w:strike w:val="0"/>
        <w:dstrike w:val="0"/>
        <w:color w:val="000000"/>
        <w:sz w:val="15"/>
        <w:szCs w:val="15"/>
        <w:u w:val="none" w:color="000000"/>
        <w:bdr w:val="none" w:sz="0" w:space="0" w:color="auto"/>
        <w:shd w:val="clear" w:color="auto" w:fill="auto"/>
        <w:vertAlign w:val="baseline"/>
      </w:rPr>
    </w:lvl>
    <w:lvl w:ilvl="6" w:tplc="DCFA0B2C">
      <w:start w:val="1"/>
      <w:numFmt w:val="bullet"/>
      <w:lvlText w:val="•"/>
      <w:lvlJc w:val="left"/>
      <w:pPr>
        <w:ind w:left="4940"/>
      </w:pPr>
      <w:rPr>
        <w:rFonts w:ascii="Trebuchet MS" w:eastAsia="Trebuchet MS" w:hAnsi="Trebuchet MS" w:cs="Trebuchet MS"/>
        <w:b w:val="0"/>
        <w:i w:val="0"/>
        <w:strike w:val="0"/>
        <w:dstrike w:val="0"/>
        <w:color w:val="000000"/>
        <w:sz w:val="15"/>
        <w:szCs w:val="15"/>
        <w:u w:val="none" w:color="000000"/>
        <w:bdr w:val="none" w:sz="0" w:space="0" w:color="auto"/>
        <w:shd w:val="clear" w:color="auto" w:fill="auto"/>
        <w:vertAlign w:val="baseline"/>
      </w:rPr>
    </w:lvl>
    <w:lvl w:ilvl="7" w:tplc="012A03A6">
      <w:start w:val="1"/>
      <w:numFmt w:val="bullet"/>
      <w:lvlText w:val="o"/>
      <w:lvlJc w:val="left"/>
      <w:pPr>
        <w:ind w:left="5660"/>
      </w:pPr>
      <w:rPr>
        <w:rFonts w:ascii="Trebuchet MS" w:eastAsia="Trebuchet MS" w:hAnsi="Trebuchet MS" w:cs="Trebuchet MS"/>
        <w:b w:val="0"/>
        <w:i w:val="0"/>
        <w:strike w:val="0"/>
        <w:dstrike w:val="0"/>
        <w:color w:val="000000"/>
        <w:sz w:val="15"/>
        <w:szCs w:val="15"/>
        <w:u w:val="none" w:color="000000"/>
        <w:bdr w:val="none" w:sz="0" w:space="0" w:color="auto"/>
        <w:shd w:val="clear" w:color="auto" w:fill="auto"/>
        <w:vertAlign w:val="baseline"/>
      </w:rPr>
    </w:lvl>
    <w:lvl w:ilvl="8" w:tplc="69F2FB18">
      <w:start w:val="1"/>
      <w:numFmt w:val="bullet"/>
      <w:lvlText w:val="▪"/>
      <w:lvlJc w:val="left"/>
      <w:pPr>
        <w:ind w:left="6380"/>
      </w:pPr>
      <w:rPr>
        <w:rFonts w:ascii="Trebuchet MS" w:eastAsia="Trebuchet MS" w:hAnsi="Trebuchet MS" w:cs="Trebuchet MS"/>
        <w:b w:val="0"/>
        <w:i w:val="0"/>
        <w:strike w:val="0"/>
        <w:dstrike w:val="0"/>
        <w:color w:val="000000"/>
        <w:sz w:val="15"/>
        <w:szCs w:val="15"/>
        <w:u w:val="none" w:color="000000"/>
        <w:bdr w:val="none" w:sz="0" w:space="0" w:color="auto"/>
        <w:shd w:val="clear" w:color="auto" w:fill="auto"/>
        <w:vertAlign w:val="baseline"/>
      </w:rPr>
    </w:lvl>
  </w:abstractNum>
  <w:num w:numId="1" w16cid:durableId="1875968067">
    <w:abstractNumId w:val="0"/>
  </w:num>
  <w:num w:numId="2" w16cid:durableId="907375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18"/>
    <w:rsid w:val="000D2218"/>
    <w:rsid w:val="00AD463E"/>
    <w:rsid w:val="00B365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611B"/>
  <w15:docId w15:val="{D33BD7EA-525A-45FF-AF68-4DFA44B7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Times New Roman" w:eastAsia="Times New Roman" w:hAnsi="Times New Roman" w:cs="Times New Roman"/>
      <w:color w:val="000000"/>
      <w:sz w:val="15"/>
    </w:rPr>
  </w:style>
  <w:style w:type="paragraph" w:styleId="Titre1">
    <w:name w:val="heading 1"/>
    <w:next w:val="Normal"/>
    <w:link w:val="Titre1Car"/>
    <w:uiPriority w:val="9"/>
    <w:unhideWhenUsed/>
    <w:qFormat/>
    <w:pPr>
      <w:keepNext/>
      <w:keepLines/>
      <w:spacing w:after="691"/>
      <w:ind w:left="10" w:right="7" w:hanging="10"/>
      <w:jc w:val="center"/>
      <w:outlineLvl w:val="0"/>
    </w:pPr>
    <w:rPr>
      <w:rFonts w:ascii="Calibri" w:eastAsia="Calibri" w:hAnsi="Calibri" w:cs="Calibri"/>
      <w:color w:val="000000"/>
    </w:rPr>
  </w:style>
  <w:style w:type="paragraph" w:styleId="Titre2">
    <w:name w:val="heading 2"/>
    <w:next w:val="Normal"/>
    <w:link w:val="Titre2Car"/>
    <w:uiPriority w:val="9"/>
    <w:unhideWhenUsed/>
    <w:qFormat/>
    <w:pPr>
      <w:keepNext/>
      <w:keepLines/>
      <w:spacing w:after="0"/>
      <w:ind w:left="10" w:hanging="10"/>
      <w:outlineLvl w:val="1"/>
    </w:pPr>
    <w:rPr>
      <w:rFonts w:ascii="Times New Roman" w:eastAsia="Times New Roman" w:hAnsi="Times New Roman" w:cs="Times New Roman"/>
      <w:b/>
      <w:color w:val="000000"/>
      <w:sz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22"/>
    </w:rPr>
  </w:style>
  <w:style w:type="character" w:customStyle="1" w:styleId="Titre2Car">
    <w:name w:val="Titre 2 Car"/>
    <w:link w:val="Titre2"/>
    <w:rPr>
      <w:rFonts w:ascii="Times New Roman" w:eastAsia="Times New Roman" w:hAnsi="Times New Roman" w:cs="Times New Roman"/>
      <w:b/>
      <w:color w:val="000000"/>
      <w:sz w:val="1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2377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partial</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dc:title>
  <dc:subject/>
  <dc:creator>Maria VARELA</dc:creator>
  <cp:keywords/>
  <cp:lastModifiedBy>Alexandre Grenier</cp:lastModifiedBy>
  <cp:revision>3</cp:revision>
  <dcterms:created xsi:type="dcterms:W3CDTF">2022-01-19T09:45:00Z</dcterms:created>
  <dcterms:modified xsi:type="dcterms:W3CDTF">2023-10-18T15:12:00Z</dcterms:modified>
</cp:coreProperties>
</file>